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48"/>
        <w:ind w:left="1628" w:right="1608" w:firstLine="0"/>
        <w:jc w:val="center"/>
        <w:rPr>
          <w:b/>
          <w:sz w:val="31"/>
        </w:rPr>
      </w:pPr>
      <w:r>
        <w:rPr>
          <w:b/>
          <w:sz w:val="31"/>
        </w:rPr>
        <w:t>Clinical Participation of HRSA Trainees Children's  Oral Health</w:t>
      </w:r>
    </w:p>
    <w:p>
      <w:pPr>
        <w:pStyle w:val="Heading1"/>
        <w:spacing w:before="273"/>
        <w:ind w:left="1628" w:right="1608" w:firstLine="0"/>
        <w:jc w:val="center"/>
        <w:rPr>
          <w:u w:val="none"/>
        </w:rPr>
      </w:pPr>
      <w:r>
        <w:rPr>
          <w:u w:val="single"/>
        </w:rPr>
        <w:t>Trainee's Note</w:t>
      </w:r>
    </w:p>
    <w:p>
      <w:pPr>
        <w:pStyle w:val="BodyText"/>
        <w:spacing w:line="278" w:lineRule="exact" w:before="7"/>
        <w:ind w:left="317" w:right="295"/>
        <w:jc w:val="center"/>
      </w:pPr>
      <w:r>
        <w:rPr>
          <w:i/>
        </w:rPr>
        <w:t>For teaching purpose, it is acceptable that this clinical exercise takes longer than 1</w:t>
      </w:r>
      <w:r>
        <w:rPr/>
        <w:t> minute and 30 seconds as proposed in the Instruction and Criteria Sheet</w:t>
      </w:r>
    </w:p>
    <w:p>
      <w:pPr>
        <w:pStyle w:val="BodyText"/>
        <w:rPr>
          <w:i/>
          <w:sz w:val="18"/>
        </w:rPr>
      </w:pPr>
    </w:p>
    <w:p>
      <w:pPr>
        <w:tabs>
          <w:tab w:pos="2578" w:val="left" w:leader="none"/>
          <w:tab w:pos="3699" w:val="left" w:leader="none"/>
        </w:tabs>
        <w:spacing w:before="67"/>
        <w:ind w:left="100" w:right="669" w:firstLine="0"/>
        <w:jc w:val="left"/>
        <w:rPr>
          <w:sz w:val="24"/>
        </w:rPr>
      </w:pPr>
      <w:r>
        <w:rPr>
          <w:sz w:val="24"/>
        </w:rPr>
        <w:t>Patient's Age: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ab/>
      </w:r>
      <w:r>
        <w:rPr>
          <w:sz w:val="24"/>
        </w:rPr>
        <w:t>Patient's Gender: M or</w:t>
      </w:r>
      <w:r>
        <w:rPr>
          <w:spacing w:val="-3"/>
          <w:sz w:val="24"/>
        </w:rPr>
        <w:t> </w:t>
      </w:r>
      <w:r>
        <w:rPr>
          <w:sz w:val="24"/>
        </w:rPr>
        <w:t>F</w:t>
      </w:r>
    </w:p>
    <w:p>
      <w:pPr>
        <w:pStyle w:val="BodyText"/>
        <w:spacing w:before="7"/>
        <w:rPr>
          <w:i w:val="0"/>
          <w:sz w:val="18"/>
        </w:rPr>
      </w:pPr>
    </w:p>
    <w:p>
      <w:pPr>
        <w:tabs>
          <w:tab w:pos="7984" w:val="left" w:leader="none"/>
        </w:tabs>
        <w:spacing w:before="67"/>
        <w:ind w:left="100" w:right="669" w:firstLine="0"/>
        <w:jc w:val="left"/>
        <w:rPr>
          <w:rFonts w:ascii="Times New Roman"/>
          <w:sz w:val="24"/>
        </w:rPr>
      </w:pPr>
      <w:r>
        <w:rPr>
          <w:sz w:val="24"/>
        </w:rPr>
        <w:t>Setting (where is this clinical experience carried</w:t>
      </w:r>
      <w:r>
        <w:rPr>
          <w:spacing w:val="-15"/>
          <w:sz w:val="24"/>
        </w:rPr>
        <w:t> </w:t>
      </w:r>
      <w:r>
        <w:rPr>
          <w:sz w:val="24"/>
        </w:rPr>
        <w:t>out): 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i w:val="0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80" w:lineRule="exact" w:before="67" w:after="0"/>
        <w:ind w:left="392" w:right="0" w:hanging="292"/>
        <w:jc w:val="both"/>
        <w:rPr>
          <w:b/>
          <w:sz w:val="24"/>
        </w:rPr>
      </w:pPr>
      <w:r>
        <w:rPr>
          <w:b/>
          <w:color w:val="FF0000"/>
          <w:sz w:val="24"/>
        </w:rPr>
        <w:t>Assessment of Oral</w:t>
      </w:r>
      <w:r>
        <w:rPr>
          <w:b/>
          <w:color w:val="FF0000"/>
          <w:spacing w:val="-7"/>
          <w:sz w:val="24"/>
        </w:rPr>
        <w:t> </w:t>
      </w:r>
      <w:r>
        <w:rPr>
          <w:b/>
          <w:color w:val="FF0000"/>
          <w:sz w:val="24"/>
        </w:rPr>
        <w:t>Cavity</w:t>
      </w:r>
    </w:p>
    <w:p>
      <w:pPr>
        <w:pStyle w:val="BodyText"/>
        <w:ind w:left="100" w:right="669"/>
      </w:pPr>
      <w:r>
        <w:rPr>
          <w:i/>
        </w:rPr>
        <w:t>(oral mucosa and soft tissue, teeth, dental caries, gingiva, timing and sequence of </w:t>
      </w:r>
      <w:r>
        <w:rPr/>
        <w:t>eruption, crowding/spacing, and oral hygiene)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292"/>
        <w:jc w:val="both"/>
        <w:rPr>
          <w:u w:val="none"/>
        </w:rPr>
      </w:pPr>
      <w:r>
        <w:rPr>
          <w:color w:val="FF0000"/>
          <w:u w:val="none"/>
        </w:rPr>
        <w:t>Caries Risks Assessment and Anticipatory</w:t>
      </w:r>
      <w:r>
        <w:rPr>
          <w:color w:val="FF0000"/>
          <w:spacing w:val="-8"/>
          <w:u w:val="none"/>
        </w:rPr>
        <w:t> </w:t>
      </w:r>
      <w:r>
        <w:rPr>
          <w:color w:val="FF0000"/>
          <w:u w:val="none"/>
        </w:rPr>
        <w:t>Guidance</w:t>
      </w:r>
    </w:p>
    <w:p>
      <w:pPr>
        <w:pStyle w:val="BodyText"/>
        <w:spacing w:line="278" w:lineRule="exact" w:before="7"/>
        <w:ind w:left="100" w:right="674"/>
      </w:pPr>
      <w:r>
        <w:rPr>
          <w:i/>
        </w:rPr>
        <w:t>(dental chief complaint, caries risk level, anticipatory guidance, and oral hygiene </w:t>
      </w:r>
      <w:r>
        <w:rPr/>
        <w:t>instruction and technique)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1" w:after="0"/>
        <w:ind w:left="393" w:right="0" w:hanging="293"/>
        <w:jc w:val="both"/>
        <w:rPr>
          <w:u w:val="none"/>
        </w:rPr>
      </w:pPr>
      <w:r>
        <w:rPr>
          <w:color w:val="FF0000"/>
          <w:u w:val="none"/>
        </w:rPr>
        <w:t>Topical Fluoride</w:t>
      </w:r>
      <w:r>
        <w:rPr>
          <w:color w:val="FF0000"/>
          <w:spacing w:val="-6"/>
          <w:u w:val="none"/>
        </w:rPr>
        <w:t> </w:t>
      </w:r>
      <w:r>
        <w:rPr>
          <w:color w:val="FF0000"/>
          <w:u w:val="none"/>
        </w:rPr>
        <w:t>Application</w:t>
      </w:r>
    </w:p>
    <w:p>
      <w:pPr>
        <w:pStyle w:val="BodyText"/>
        <w:spacing w:before="2"/>
        <w:ind w:left="100"/>
        <w:jc w:val="both"/>
        <w:rPr>
          <w:i/>
        </w:rPr>
      </w:pPr>
      <w:r>
        <w:rPr>
          <w:i/>
        </w:rPr>
        <w:t>(post</w:t>
      </w:r>
      <w:r>
        <w:rPr>
          <w:i/>
          <w:w w:val="33"/>
        </w:rPr>
        <w:t>-­‐</w:t>
      </w:r>
      <w:r>
        <w:rPr>
          <w:i/>
        </w:rPr>
        <w:t>application instruction)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80" w:lineRule="exact" w:before="0" w:after="0"/>
        <w:ind w:left="392" w:right="0" w:hanging="292"/>
        <w:jc w:val="both"/>
        <w:rPr>
          <w:u w:val="none"/>
        </w:rPr>
      </w:pPr>
      <w:r>
        <w:rPr>
          <w:color w:val="FF0000"/>
          <w:u w:val="none"/>
        </w:rPr>
        <w:t>Follow</w:t>
      </w:r>
      <w:r>
        <w:rPr>
          <w:color w:val="FF0000"/>
          <w:w w:val="33"/>
          <w:u w:val="none"/>
        </w:rPr>
        <w:t>-­‐</w:t>
      </w:r>
      <w:r>
        <w:rPr>
          <w:color w:val="FF0000"/>
          <w:spacing w:val="-1"/>
          <w:u w:val="none"/>
        </w:rPr>
        <w:t>U</w:t>
      </w:r>
      <w:r>
        <w:rPr>
          <w:color w:val="FF0000"/>
          <w:u w:val="none"/>
        </w:rPr>
        <w:t>p </w:t>
      </w:r>
      <w:r>
        <w:rPr>
          <w:color w:val="FF0000"/>
          <w:spacing w:val="-1"/>
          <w:u w:val="none"/>
        </w:rPr>
        <w:t>P</w:t>
      </w:r>
      <w:r>
        <w:rPr>
          <w:color w:val="FF0000"/>
          <w:u w:val="none"/>
        </w:rPr>
        <w:t>lan</w:t>
      </w:r>
    </w:p>
    <w:p>
      <w:pPr>
        <w:pStyle w:val="BodyText"/>
        <w:ind w:left="100" w:right="305"/>
      </w:pPr>
      <w:r>
        <w:rPr>
          <w:i/>
        </w:rPr>
        <w:t>(refer for urgent dental care, refer to dental home or further evaluation, OR no issue, </w:t>
      </w:r>
      <w:r>
        <w:rPr/>
        <w:t>low risk, and evaluate at next </w:t>
      </w:r>
      <w:r>
        <w:rPr>
          <w:w w:val="83"/>
        </w:rPr>
        <w:t>well-­‐child </w:t>
      </w:r>
      <w:r>
        <w:rPr/>
        <w:t>visit)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left="100" w:right="245" w:firstLine="0"/>
        <w:rPr>
          <w:u w:val="none"/>
        </w:rPr>
      </w:pPr>
      <w:r>
        <w:rPr>
          <w:u w:val="single"/>
        </w:rPr>
        <w:t>To TRAINEES</w:t>
      </w:r>
      <w:r>
        <w:rPr>
          <w:u w:val="none"/>
        </w:rPr>
        <w:t>: Please attach this form </w:t>
      </w:r>
      <w:r>
        <w:rPr>
          <w:u w:val="single"/>
        </w:rPr>
        <w:t>with </w:t>
      </w:r>
      <w:r>
        <w:rPr>
          <w:u w:val="none"/>
        </w:rPr>
        <w:t>the Evaluation Sheet and return it to Dr. Brent Lin or Wilson Cruz in the HRSA Office (SOD Room D1021) for the required course credits.  Kindly make sure to keep a copy for your record.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21"/>
        </w:rPr>
      </w:pPr>
    </w:p>
    <w:p>
      <w:pPr>
        <w:pStyle w:val="BodyText"/>
        <w:spacing w:before="67"/>
        <w:ind w:left="100" w:right="669"/>
        <w:rPr>
          <w:i/>
        </w:rPr>
      </w:pPr>
      <w:r>
        <w:rPr>
          <w:i/>
        </w:rPr>
        <w:t>Created by Brent Lin, DMD, University of California, San Francisco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92" w:hanging="293"/>
        <w:jc w:val="left"/>
      </w:pPr>
      <w:rPr>
        <w:rFonts w:hint="default" w:ascii="Cambria" w:hAnsi="Cambria" w:eastAsia="Cambria" w:cs="Cambria"/>
        <w:b/>
        <w:bCs/>
        <w:color w:val="FF0000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42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6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392" w:hanging="292"/>
      <w:jc w:val="both"/>
      <w:outlineLvl w:val="1"/>
    </w:pPr>
    <w:rPr>
      <w:rFonts w:ascii="Cambria" w:hAnsi="Cambria" w:eastAsia="Cambria" w:cs="Cambria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392" w:hanging="292"/>
      <w:jc w:val="both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2016-10-04T17:11:27Z</dcterms:created>
  <dcterms:modified xsi:type="dcterms:W3CDTF">2016-10-04T17:11:27Z</dcterms:modified>
</cp:coreProperties>
</file>